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7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body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The Brandfather Strikes Gold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Coca-Cola is promoting its new Full Throttle energy drink, PepsiCo Inc. is marketing energy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drinks under its SoBe and Mountain Dew brands, and smaller companies are challenging the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soft drink giants with products such as Powerade, Rockstar, and FUZE Mega Energy. With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concerns about the amount of sugar in soft drinks and the negative health effects that can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cause, brands such as Vitaminwater and Bai have garnered significant market share and have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been acquired by soft drink giants such as Coca-Cola and Dr Pepper.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The person behind the success of Powerade, Vitaminwater, and Bai is Rohan Oza. After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graduating from the University of Michigan’s business school, Oza began working at Coca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Cola, where he worked on brands such as Sprite and Powerade. After Oza left Coca Cola for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more entrepreneurial challenges, he scored a coup with Smartwater, where he was able to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approach Jennifer Aniston to become the endorser of the product. He also was able to attract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rapper 50 Cent as an endorser of Vitaminwater. On the arrangement with 50 Cent, he took no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fees for the endorsement, instead opting for equity in the company. It looks like this was a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sound strategy, since Vitaminwater parent Glaceau sold to Oza’s former employer, Coca Cola,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for $4.2 billion in 2007.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Oza did not stop after the Vitaminwater success. He started Bai and partnered with Justin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Timberlake to establish that brand. Just as he did with Jennifer Aniston and Smartwater, and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with 50 Cent and Vitaminwater, Oza works on making sure that he has the correct strategy to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match the features and benefits of the brand with just the right celebrity endorser. With Bai, a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sparkling drink that features antioxidants as a product benefit, Oza was able to convince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Timberlake, an entrepreneur in his own right, to invest in Bai. So Timberlake was not only an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endorser but a part owner, and he has been intimately involved in the brand strategy. This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partnership worked as well, because Bai was sold to the Dr Pepper Snapple Group for $1.7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billion in 2016.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 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Critical Thinking Questions</w:t>
      </w: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1. Oza has established several successful products in the competitive beverage Why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has he been able to achieve this success when large organizations with more resources,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such as Coca Cola and Pepsi, are forced to buy these new successful brands?</w:t>
      </w: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2. What types of unique marketing support helped to sustain Vitaminwater and Bai’s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tremendous growth?</w:t>
      </w: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  Suggest a celebrity endorsement with a beverage brand, and tell why that pairing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would lead to What are the brand attributes and the reputation of the endorser that </w:t>
      </w:r>
      <w:r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t xml:space="preserve">would resonate with specific consumer segments?</w:t>
      </w: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24"/>
          <w:szCs w:val="24"/>
          <w:rFonts w:ascii="Times New Roman" w:eastAsia="Times New Roman" w:hAnsi="Times New Roman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Novartis’s Prescription for Invoice Processing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What do you do when you have more than 600 business units operating through 360 independent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affiliates in 140 countries around the world—processing complex invoices in various languages and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currencies? You seek out the best technology solution to make the job easier.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At global pharmaceutical giant Novartis, the IT department is a strategic resource, a community of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2,000 people serving 63,000 customers in 200 locations and 25 data centers. Because most of the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company’s invoices come from international suppliers, they have differences in design, language,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taxes, and currency.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Consequently, many ended up as “query items” requiring manual resolution by Novartis accounting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staff—which delayed payments and made those invoices extremely costly to process. In fact,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finance personnel spent so much of their time resolving queried invoices that other work suffered.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A solution was badly needed.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To maximize its investment, Novartis needed a flexible solution that would meet its current and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future needs and function in other business departments in a variety of geographic locations. It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should provide fast, accurate document capture and multi-language support, and should extend to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other types of information—such as faxes and electronic data—in addition to paper documents.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Finally, in order to obtain financing for the project, return on investment (ROI) was required within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nine months of project implementation.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>Input</w:t>
      </w:r>
      <w:r>
        <w:rPr>
          <w:spacing w:val="0"/>
          <w:i w:val="1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Accel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for Invoices from EMC/Captiva was the answer. The software extracts data from paper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documents, applies intelligent document recognition (IDR) technology to convert them to digital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images, and sends relevant data to enterprise resource planning, accounts payable (A/P), and other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back-end management systems. The specialized Input</w:t>
      </w:r>
      <w:r>
        <w:rPr>
          <w:spacing w:val="0"/>
          <w:i w:val="1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Accel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server manages output by recognizing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and avoiding holdups in the workflow process. It also ensures if a server goes offline, others will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carry on functioning, thus avoiding downtime.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Now Novartis scans incoming invoices at a centrally located site, and the images are transmitted to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the Input</w:t>
      </w:r>
      <w:r>
        <w:rPr>
          <w:spacing w:val="0"/>
          <w:i w:val="1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Accel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for Invoices server for image improvement. Invoice data is then extracted and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validated against supplier information. Most invoices are transferred directly for payment, with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relatively few invoices requiring transfer to one of three accounts payable clerks who deal with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queries manually. Novartis is a global leader in research and development of products that improve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health issues. Input</w:t>
      </w:r>
      <w:r>
        <w:rPr>
          <w:spacing w:val="0"/>
          <w:i w:val="1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Accel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was selected by Novartis to be part of its accounting system.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Thanks to IT, overall efficiency has increased, processing errors are reduced, and accounting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personnel can use their time and expert knowledge for more meaningful tasks than resolving </w:t>
      </w: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invoice errors. For Novartis, it is “mission accomplished.”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20"/>
          <w:szCs w:val="20"/>
          <w:rFonts w:ascii="Trebuchet MS" w:eastAsia="&quot;Trebuchet MS&quot;" w:hAnsi="&quot;Trebuchet MS&quot;" w:hint="default"/>
        </w:rPr>
        <w:t xml:space="preserve">Critical Thinking Questions</w:t>
      </w: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 xml:space="preserve">1. What factors contributed to Novartis’s invoice processing being so complex?</w:t>
      </w: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 xml:space="preserve">2. How did IT help the company solve that problem?</w:t>
      </w: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 xml:space="preserve">3. What other uses and functions does Input</w:t>
      </w:r>
      <w:r>
        <w:rPr>
          <w:spacing w:val="0"/>
          <w:i w:val="1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 xml:space="preserve">Accel </w:t>
      </w:r>
      <w:r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 xml:space="preserve">serve, and how will this be useful to Novartis over the </w:t>
      </w:r>
      <w:r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 xml:space="preserve">long term? (You may want to visit the EMC/Captiva website, </w:t>
      </w:r>
      <w:r>
        <w:fldChar w:fldCharType="begin"/>
      </w:r>
      <w:r>
        <w:instrText xml:space="preserve">HYPERLINK "http://www.emc.com/"</w:instrText>
      </w:r>
      <w:r>
        <w:fldChar w:fldCharType="separate"/>
      </w:r>
      <w:r>
        <w:rPr>
          <w:spacing w:val="0"/>
          <w:i w:val="0"/>
          <w:b w:val="0"/>
          <w:color w:val="05689F"/>
          <w:sz w:val="18"/>
          <w:szCs w:val="18"/>
          <w:rFonts w:ascii="Trebuchet MS" w:eastAsia="&quot;Trebuchet MS&quot;" w:hAnsi="&quot;Trebuchet MS&quot;" w:hint="default"/>
        </w:rPr>
        <w:t>https://www.emc.com</w:t>
      </w:r>
      <w:r>
        <w:rPr>
          <w:color w:val="auto"/>
          <w:sz w:val="20"/>
          <w:szCs w:val="20"/>
          <w:rFonts w:ascii="NanumGothic" w:eastAsia="NanumGothic" w:hAnsi="NanumGothic" w:hint="default"/>
        </w:rPr>
        <w:fldChar w:fldCharType="end"/>
      </w:r>
      <w:r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 xml:space="preserve">, for more </w:t>
      </w:r>
      <w:r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 xml:space="preserve">information on Input</w:t>
      </w:r>
      <w:r>
        <w:rPr>
          <w:spacing w:val="0"/>
          <w:i w:val="1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>Accel</w:t>
      </w:r>
      <w:r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 xml:space="preserve">’s )</w:t>
      </w:r>
    </w:p>
    <w:p>
      <w:pPr>
        <w:numPr>
          <w:ilvl w:val="0"/>
          <w:numId w:val="0"/>
        </w:numPr>
        <w:jc w:val="left"/>
        <w:spacing w:lineRule="auto" w:line="259" w:before="0" w:after="160"/>
        <w:ind w:left="600" w:firstLine="0"/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color w:val="auto"/>
          <w:sz w:val="24"/>
          <w:szCs w:val="24"/>
          <w:rFonts w:ascii="Times New Roman" w:eastAsia="Times New Roman" w:hAnsi="Times New Roman" w:hint="default"/>
        </w:rPr>
        <w:wordWrap w:val="off"/>
      </w:pP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footerReference w:type="default" r:id="rId5"/>
      <w:pgSz w:w="11906" w:h="16838"/>
      <w:pgMar w:top="1701" w:left="1440" w:bottom="1440" w:right="1440" w:header="708" w:footer="708" w:gutter="0"/>
      <w:pgNumType w:fmt="decimal"/>
      <w:docGrid w:type="default" w:linePitch="360" w:charSpace="61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rebuchet M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&quot;Trebuchet MS&quot;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numPr>
        <w:ilvl w:val="0"/>
        <w:numId w:val="0"/>
      </w:numPr>
      <w:jc w:val="both"/>
      <w:spacing w:lineRule="auto" w:line="259" w:before="0" w:after="160"/>
      <w:ind w:left="0" w:hanging="0"/>
      <w:rPr>
        <w:color w:val="auto"/>
        <w:sz w:val="22"/>
        <w:szCs w:val="22"/>
        <w:rFonts w:ascii="NanumGothic" w:eastAsia="NanumGothic" w:hAnsi="NanumGothic" w:hint="default"/>
      </w:rPr>
      <w:wordWrap w:val="off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</w:pPr>
    </w:pPrDefault>
    <w:rPrDefault>
      <w:rPr>
        <w:shd w:val="clear"/>
        <w:sz w:val="22"/>
        <w:szCs w:val="22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2"/>
      <w:szCs w:val="22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2"/>
      <w:szCs w:val="22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footer" Target="footer7.xml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3</Pages>
  <Paragraphs>0</Paragraphs>
  <Words>907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Polaris Office</dc:creator>
  <cp:lastModifiedBy/>
</cp:coreProperties>
</file>